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88E7" w14:textId="452752BC" w:rsidR="00B47A5D" w:rsidRDefault="00B47A5D" w:rsidP="00B47A5D">
      <w:pPr>
        <w:rPr>
          <w:rFonts w:ascii="Arial Narrow" w:hAnsi="Arial Narrow" w:cs="Arial"/>
          <w:b/>
          <w:bCs/>
          <w:color w:val="000000" w:themeColor="text1"/>
          <w:sz w:val="44"/>
          <w:szCs w:val="44"/>
        </w:rPr>
      </w:pPr>
      <w:r>
        <w:rPr>
          <w:rFonts w:ascii="Arial Narrow" w:hAnsi="Arial Narrow" w:cs="Arial"/>
          <w:b/>
          <w:bCs/>
          <w:color w:val="000000" w:themeColor="text1"/>
          <w:sz w:val="44"/>
          <w:szCs w:val="44"/>
        </w:rPr>
        <w:t xml:space="preserve">                                                                                     </w:t>
      </w:r>
      <w:r>
        <w:rPr>
          <w:rFonts w:ascii="Arial Narrow" w:hAnsi="Arial Narrow" w:cs="Arial"/>
          <w:b/>
          <w:bCs/>
          <w:noProof/>
          <w:color w:val="000000" w:themeColor="text1"/>
          <w:sz w:val="44"/>
          <w:szCs w:val="44"/>
        </w:rPr>
        <w:drawing>
          <wp:inline distT="0" distB="0" distL="0" distR="0" wp14:anchorId="4C6D73D8" wp14:editId="05788F39">
            <wp:extent cx="962025" cy="895350"/>
            <wp:effectExtent l="0" t="0" r="9525" b="0"/>
            <wp:docPr id="92733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895350"/>
                    </a:xfrm>
                    <a:prstGeom prst="rect">
                      <a:avLst/>
                    </a:prstGeom>
                    <a:noFill/>
                    <a:ln>
                      <a:noFill/>
                    </a:ln>
                  </pic:spPr>
                </pic:pic>
              </a:graphicData>
            </a:graphic>
          </wp:inline>
        </w:drawing>
      </w:r>
    </w:p>
    <w:p w14:paraId="05A59BAB" w14:textId="77777777" w:rsidR="00B47A5D" w:rsidRDefault="00341565" w:rsidP="00B47A5D">
      <w:pPr>
        <w:pStyle w:val="Heading3"/>
        <w:keepNext w:val="0"/>
        <w:keepLines w:val="0"/>
        <w:spacing w:before="300" w:after="200" w:line="240" w:lineRule="auto"/>
        <w:ind w:left="0" w:firstLine="0"/>
        <w:rPr>
          <w:rFonts w:eastAsia="Times New Roman" w:cs="Calibri"/>
          <w:b/>
          <w:bCs/>
          <w:color w:val="008E40"/>
          <w:kern w:val="0"/>
          <w:lang w:val="en-US" w:eastAsia="en-US"/>
          <w14:ligatures w14:val="none"/>
        </w:rPr>
      </w:pPr>
      <w:r w:rsidRPr="00B47A5D">
        <w:rPr>
          <w:rFonts w:eastAsia="Times New Roman" w:cs="Calibri"/>
          <w:b/>
          <w:bCs/>
          <w:color w:val="008E40"/>
          <w:kern w:val="0"/>
          <w:lang w:val="en-US" w:eastAsia="en-US"/>
          <w14:ligatures w14:val="none"/>
        </w:rPr>
        <w:t>The Cardboard Box Company</w:t>
      </w:r>
      <w:r w:rsidR="00AC3D43" w:rsidRPr="00B47A5D">
        <w:rPr>
          <w:rFonts w:eastAsia="Times New Roman" w:cs="Calibri"/>
          <w:b/>
          <w:bCs/>
          <w:color w:val="008E40"/>
          <w:kern w:val="0"/>
          <w:lang w:val="en-US" w:eastAsia="en-US"/>
          <w14:ligatures w14:val="none"/>
        </w:rPr>
        <w:t xml:space="preserve"> Ltd</w:t>
      </w:r>
    </w:p>
    <w:p w14:paraId="302F0446" w14:textId="7FB23AEE" w:rsidR="00341565" w:rsidRPr="00B47A5D" w:rsidRDefault="00341565" w:rsidP="00B47A5D">
      <w:pPr>
        <w:pStyle w:val="Heading3"/>
        <w:keepNext w:val="0"/>
        <w:keepLines w:val="0"/>
        <w:spacing w:before="300" w:after="200" w:line="240" w:lineRule="auto"/>
        <w:ind w:left="0" w:firstLine="0"/>
        <w:rPr>
          <w:rFonts w:eastAsia="Times New Roman" w:cs="Calibri"/>
          <w:b/>
          <w:bCs/>
          <w:color w:val="008E40"/>
          <w:kern w:val="0"/>
          <w:lang w:val="en-US" w:eastAsia="en-US"/>
          <w14:ligatures w14:val="none"/>
        </w:rPr>
      </w:pPr>
      <w:r w:rsidRPr="00B47A5D">
        <w:rPr>
          <w:rFonts w:eastAsia="Times New Roman" w:cs="Calibri"/>
          <w:b/>
          <w:bCs/>
          <w:color w:val="008E40"/>
          <w:kern w:val="0"/>
          <w:lang w:val="en-US" w:eastAsia="en-US"/>
          <w14:ligatures w14:val="none"/>
        </w:rPr>
        <w:t>Packaging and Packaging Waste Regulation (PPWR)</w:t>
      </w:r>
      <w:r w:rsidR="00B47A5D">
        <w:rPr>
          <w:rFonts w:eastAsia="Times New Roman" w:cs="Calibri"/>
          <w:b/>
          <w:bCs/>
          <w:color w:val="008E40"/>
          <w:kern w:val="0"/>
          <w:lang w:val="en-US" w:eastAsia="en-US"/>
          <w14:ligatures w14:val="none"/>
        </w:rPr>
        <w:t xml:space="preserve"> </w:t>
      </w:r>
      <w:r w:rsidRPr="00B47A5D">
        <w:rPr>
          <w:rFonts w:eastAsia="Times New Roman" w:cs="Calibri"/>
          <w:b/>
          <w:bCs/>
          <w:color w:val="008E40"/>
          <w:kern w:val="0"/>
          <w:lang w:val="en-US" w:eastAsia="en-US"/>
          <w14:ligatures w14:val="none"/>
        </w:rPr>
        <w:t>Policy Statement</w:t>
      </w:r>
    </w:p>
    <w:p w14:paraId="69BCB8CF" w14:textId="77777777" w:rsidR="00E16C8D" w:rsidRPr="00B47A5D" w:rsidRDefault="00E16C8D" w:rsidP="00E16C8D">
      <w:pPr>
        <w:spacing w:after="82" w:line="259" w:lineRule="auto"/>
        <w:ind w:left="0" w:firstLine="0"/>
        <w:rPr>
          <w:sz w:val="22"/>
          <w:szCs w:val="22"/>
        </w:rPr>
      </w:pPr>
    </w:p>
    <w:p w14:paraId="16E8F5A2" w14:textId="77777777" w:rsidR="00286D5F" w:rsidRPr="00B47A5D" w:rsidRDefault="00341565" w:rsidP="00341565">
      <w:pPr>
        <w:spacing w:after="82" w:line="259" w:lineRule="auto"/>
        <w:ind w:left="0" w:firstLine="0"/>
        <w:rPr>
          <w:sz w:val="22"/>
          <w:szCs w:val="22"/>
        </w:rPr>
      </w:pPr>
      <w:r w:rsidRPr="00B47A5D">
        <w:rPr>
          <w:sz w:val="22"/>
          <w:szCs w:val="22"/>
        </w:rPr>
        <w:t xml:space="preserve">The Cardboard Box Company Ltd is committed to full compliance with the EU Packaging and Packaging Waste Regulation (PPWR), which entered into force in February 2025 and applies from August 2026. </w:t>
      </w:r>
    </w:p>
    <w:p w14:paraId="1FCB6E30" w14:textId="239143F6" w:rsidR="00341565" w:rsidRPr="00B47A5D" w:rsidRDefault="00341565" w:rsidP="00341565">
      <w:pPr>
        <w:spacing w:after="82" w:line="259" w:lineRule="auto"/>
        <w:ind w:left="0" w:firstLine="0"/>
        <w:rPr>
          <w:sz w:val="22"/>
          <w:szCs w:val="22"/>
        </w:rPr>
      </w:pPr>
      <w:r w:rsidRPr="00B47A5D">
        <w:rPr>
          <w:sz w:val="22"/>
          <w:szCs w:val="22"/>
        </w:rPr>
        <w:t xml:space="preserve">The Regulation establishes harmonised requirements across the EU to reduce packaging waste, increase recyclability, minimise substances of concern, and support the transition to a circular economy. </w:t>
      </w:r>
    </w:p>
    <w:p w14:paraId="5A4EDE22" w14:textId="77777777" w:rsidR="00341565" w:rsidRPr="00B47A5D" w:rsidRDefault="00341565" w:rsidP="00341565">
      <w:pPr>
        <w:spacing w:after="82" w:line="259" w:lineRule="auto"/>
        <w:ind w:left="0" w:firstLine="0"/>
        <w:rPr>
          <w:sz w:val="22"/>
          <w:szCs w:val="22"/>
        </w:rPr>
      </w:pPr>
      <w:r w:rsidRPr="00B47A5D">
        <w:rPr>
          <w:sz w:val="22"/>
          <w:szCs w:val="22"/>
        </w:rPr>
        <w:t>We recognise our responsibility to design, source, manufacture, and place packaging on the market in a way that protects the environment, supports resource efficiency, and meets all legal obligations.</w:t>
      </w:r>
    </w:p>
    <w:p w14:paraId="61C6F9E6" w14:textId="53BC2821" w:rsidR="00341565" w:rsidRPr="00B47A5D" w:rsidRDefault="00341565" w:rsidP="00341565">
      <w:pPr>
        <w:spacing w:after="82" w:line="259" w:lineRule="auto"/>
        <w:ind w:left="0" w:firstLine="0"/>
        <w:rPr>
          <w:sz w:val="22"/>
          <w:szCs w:val="22"/>
        </w:rPr>
      </w:pPr>
      <w:r w:rsidRPr="00B47A5D">
        <w:rPr>
          <w:sz w:val="22"/>
          <w:szCs w:val="22"/>
        </w:rPr>
        <w:t>This policy applies to all packaging and packaging components we design, manufacture, procure, or supply within the EU market, including primary, secondary, and tertiary packaging across all materials. The PPWR covers the full life cycle of packaging, from design to end</w:t>
      </w:r>
      <w:r w:rsidRPr="00B47A5D">
        <w:rPr>
          <w:sz w:val="22"/>
          <w:szCs w:val="22"/>
        </w:rPr>
        <w:noBreakHyphen/>
        <w:t>of</w:t>
      </w:r>
      <w:r w:rsidRPr="00B47A5D">
        <w:rPr>
          <w:sz w:val="22"/>
          <w:szCs w:val="22"/>
        </w:rPr>
        <w:noBreakHyphen/>
        <w:t xml:space="preserve">life management. </w:t>
      </w:r>
    </w:p>
    <w:p w14:paraId="6D844544" w14:textId="77777777" w:rsidR="00286D5F" w:rsidRPr="00B47A5D" w:rsidRDefault="00286D5F" w:rsidP="00341565">
      <w:pPr>
        <w:spacing w:after="82" w:line="259" w:lineRule="auto"/>
        <w:ind w:left="0" w:firstLine="0"/>
        <w:rPr>
          <w:b/>
          <w:bCs/>
          <w:sz w:val="22"/>
          <w:szCs w:val="22"/>
        </w:rPr>
      </w:pPr>
    </w:p>
    <w:p w14:paraId="740D5A9A" w14:textId="16FFC70F" w:rsidR="00341565" w:rsidRPr="00B47A5D" w:rsidRDefault="00341565" w:rsidP="00341565">
      <w:pPr>
        <w:spacing w:after="82" w:line="259" w:lineRule="auto"/>
        <w:ind w:left="0" w:firstLine="0"/>
        <w:rPr>
          <w:b/>
          <w:bCs/>
          <w:sz w:val="22"/>
          <w:szCs w:val="22"/>
        </w:rPr>
      </w:pPr>
      <w:r w:rsidRPr="00B47A5D">
        <w:rPr>
          <w:b/>
          <w:bCs/>
          <w:sz w:val="22"/>
          <w:szCs w:val="22"/>
        </w:rPr>
        <w:t>Recyclability and Design for Circularity</w:t>
      </w:r>
    </w:p>
    <w:p w14:paraId="1DF7FD73" w14:textId="33B14D1A" w:rsidR="00341565" w:rsidRPr="00B47A5D" w:rsidRDefault="00341565" w:rsidP="00286D5F">
      <w:pPr>
        <w:spacing w:after="82" w:line="259" w:lineRule="auto"/>
        <w:ind w:left="0" w:firstLine="0"/>
        <w:rPr>
          <w:sz w:val="22"/>
          <w:szCs w:val="22"/>
        </w:rPr>
      </w:pPr>
      <w:r w:rsidRPr="00B47A5D">
        <w:rPr>
          <w:sz w:val="22"/>
          <w:szCs w:val="22"/>
        </w:rPr>
        <w:t xml:space="preserve">We will ensure that all packaging placed on the EU market meets the PPWR’s minimum recyclability requirements and is recyclable in an economically viable way by 2030. </w:t>
      </w:r>
    </w:p>
    <w:p w14:paraId="0028AE3F" w14:textId="77777777" w:rsidR="00286D5F" w:rsidRPr="00B47A5D" w:rsidRDefault="00286D5F" w:rsidP="00341565">
      <w:pPr>
        <w:spacing w:after="82" w:line="259" w:lineRule="auto"/>
        <w:ind w:left="0" w:firstLine="0"/>
        <w:rPr>
          <w:b/>
          <w:bCs/>
          <w:sz w:val="22"/>
          <w:szCs w:val="22"/>
        </w:rPr>
      </w:pPr>
    </w:p>
    <w:p w14:paraId="4DC2E0B8" w14:textId="06623219" w:rsidR="00341565" w:rsidRPr="00B47A5D" w:rsidRDefault="00341565" w:rsidP="00341565">
      <w:pPr>
        <w:spacing w:after="82" w:line="259" w:lineRule="auto"/>
        <w:ind w:left="0" w:firstLine="0"/>
        <w:rPr>
          <w:b/>
          <w:bCs/>
          <w:sz w:val="22"/>
          <w:szCs w:val="22"/>
        </w:rPr>
      </w:pPr>
      <w:r w:rsidRPr="00B47A5D">
        <w:rPr>
          <w:b/>
          <w:bCs/>
          <w:sz w:val="22"/>
          <w:szCs w:val="22"/>
        </w:rPr>
        <w:t>Waste Prevention and Minimisation</w:t>
      </w:r>
    </w:p>
    <w:p w14:paraId="4833D8AC" w14:textId="0C3DF530" w:rsidR="00341565" w:rsidRPr="00B47A5D" w:rsidRDefault="00341565" w:rsidP="00286D5F">
      <w:pPr>
        <w:spacing w:after="82" w:line="259" w:lineRule="auto"/>
        <w:ind w:left="0" w:firstLine="0"/>
        <w:rPr>
          <w:sz w:val="22"/>
          <w:szCs w:val="22"/>
        </w:rPr>
      </w:pPr>
      <w:r w:rsidRPr="00B47A5D">
        <w:rPr>
          <w:sz w:val="22"/>
          <w:szCs w:val="22"/>
        </w:rPr>
        <w:t xml:space="preserve">We will actively reduce packaging weight and volume while maintaining product safety and functionality. </w:t>
      </w:r>
    </w:p>
    <w:p w14:paraId="597F00A2" w14:textId="77777777" w:rsidR="00286D5F" w:rsidRPr="00B47A5D" w:rsidRDefault="00286D5F" w:rsidP="00341565">
      <w:pPr>
        <w:spacing w:after="82" w:line="259" w:lineRule="auto"/>
        <w:ind w:left="0" w:firstLine="0"/>
        <w:rPr>
          <w:sz w:val="22"/>
          <w:szCs w:val="22"/>
        </w:rPr>
      </w:pPr>
    </w:p>
    <w:p w14:paraId="080C128F" w14:textId="77777777" w:rsidR="00341565" w:rsidRPr="00B47A5D" w:rsidRDefault="00341565" w:rsidP="00341565">
      <w:pPr>
        <w:spacing w:after="82" w:line="259" w:lineRule="auto"/>
        <w:ind w:left="0" w:firstLine="0"/>
        <w:rPr>
          <w:b/>
          <w:bCs/>
          <w:sz w:val="22"/>
          <w:szCs w:val="22"/>
        </w:rPr>
      </w:pPr>
      <w:r w:rsidRPr="00B47A5D">
        <w:rPr>
          <w:b/>
          <w:bCs/>
          <w:sz w:val="22"/>
          <w:szCs w:val="22"/>
        </w:rPr>
        <w:t>Substance Restrictions</w:t>
      </w:r>
    </w:p>
    <w:p w14:paraId="5230A3C8" w14:textId="77777777" w:rsidR="00341565" w:rsidRPr="00B47A5D" w:rsidRDefault="00341565" w:rsidP="00341565">
      <w:pPr>
        <w:spacing w:after="82" w:line="259" w:lineRule="auto"/>
        <w:ind w:left="0" w:firstLine="0"/>
        <w:rPr>
          <w:sz w:val="22"/>
          <w:szCs w:val="22"/>
        </w:rPr>
      </w:pPr>
      <w:r w:rsidRPr="00B47A5D">
        <w:rPr>
          <w:sz w:val="22"/>
          <w:szCs w:val="22"/>
        </w:rPr>
        <w:t xml:space="preserve">We will comply with all PPWR restrictions on substances of concern, including limits on PFAS and other regulated chemicals. </w:t>
      </w:r>
    </w:p>
    <w:p w14:paraId="01350253" w14:textId="77777777" w:rsidR="00286D5F" w:rsidRPr="00B47A5D" w:rsidRDefault="00286D5F" w:rsidP="00341565">
      <w:pPr>
        <w:spacing w:after="82" w:line="259" w:lineRule="auto"/>
        <w:ind w:left="0" w:firstLine="0"/>
        <w:rPr>
          <w:b/>
          <w:bCs/>
          <w:sz w:val="22"/>
          <w:szCs w:val="22"/>
        </w:rPr>
      </w:pPr>
    </w:p>
    <w:p w14:paraId="2F081376" w14:textId="78481AB1" w:rsidR="00341565" w:rsidRPr="00B47A5D" w:rsidRDefault="00341565" w:rsidP="00341565">
      <w:pPr>
        <w:spacing w:after="82" w:line="259" w:lineRule="auto"/>
        <w:ind w:left="0" w:firstLine="0"/>
        <w:rPr>
          <w:b/>
          <w:bCs/>
          <w:sz w:val="22"/>
          <w:szCs w:val="22"/>
        </w:rPr>
      </w:pPr>
      <w:r w:rsidRPr="00B47A5D">
        <w:rPr>
          <w:b/>
          <w:bCs/>
          <w:sz w:val="22"/>
          <w:szCs w:val="22"/>
        </w:rPr>
        <w:t>Recycled Content and Material Efficiency</w:t>
      </w:r>
    </w:p>
    <w:p w14:paraId="63DF6D9B" w14:textId="77777777" w:rsidR="00341565" w:rsidRPr="00B47A5D" w:rsidRDefault="00341565" w:rsidP="00341565">
      <w:pPr>
        <w:spacing w:after="82" w:line="259" w:lineRule="auto"/>
        <w:ind w:left="0" w:firstLine="0"/>
        <w:rPr>
          <w:sz w:val="22"/>
          <w:szCs w:val="22"/>
        </w:rPr>
      </w:pPr>
      <w:r w:rsidRPr="00B47A5D">
        <w:rPr>
          <w:sz w:val="22"/>
          <w:szCs w:val="22"/>
        </w:rPr>
        <w:t xml:space="preserve">Where applicable, we will incorporate recycled content in line with PPWR requirements and support the reduction of virgin material use across our packaging portfolio. </w:t>
      </w:r>
    </w:p>
    <w:p w14:paraId="3F2FD694" w14:textId="77777777" w:rsidR="00286D5F" w:rsidRPr="00B47A5D" w:rsidRDefault="00286D5F" w:rsidP="00341565">
      <w:pPr>
        <w:spacing w:after="82" w:line="259" w:lineRule="auto"/>
        <w:ind w:left="0" w:firstLine="0"/>
        <w:rPr>
          <w:sz w:val="22"/>
          <w:szCs w:val="22"/>
        </w:rPr>
      </w:pPr>
    </w:p>
    <w:p w14:paraId="0D7CC80D" w14:textId="77777777" w:rsidR="00341565" w:rsidRPr="00B47A5D" w:rsidRDefault="00341565" w:rsidP="00341565">
      <w:pPr>
        <w:spacing w:after="82" w:line="259" w:lineRule="auto"/>
        <w:ind w:left="0" w:firstLine="0"/>
        <w:rPr>
          <w:b/>
          <w:bCs/>
          <w:sz w:val="22"/>
          <w:szCs w:val="22"/>
        </w:rPr>
      </w:pPr>
      <w:r w:rsidRPr="00B47A5D">
        <w:rPr>
          <w:b/>
          <w:bCs/>
          <w:sz w:val="22"/>
          <w:szCs w:val="22"/>
        </w:rPr>
        <w:t>Reuse and Refill Systems</w:t>
      </w:r>
    </w:p>
    <w:p w14:paraId="07134E0D" w14:textId="77777777" w:rsidR="00341565" w:rsidRPr="00B47A5D" w:rsidRDefault="00341565" w:rsidP="00341565">
      <w:pPr>
        <w:spacing w:after="82" w:line="259" w:lineRule="auto"/>
        <w:ind w:left="0" w:firstLine="0"/>
        <w:rPr>
          <w:sz w:val="22"/>
          <w:szCs w:val="22"/>
        </w:rPr>
      </w:pPr>
      <w:r w:rsidRPr="00B47A5D">
        <w:rPr>
          <w:sz w:val="22"/>
          <w:szCs w:val="22"/>
        </w:rPr>
        <w:t xml:space="preserve">We will evaluate and implement reuse solutions where required or beneficial, supporting the Regulation’s emphasis on reusable packaging systems. </w:t>
      </w:r>
    </w:p>
    <w:p w14:paraId="41CDB8F9" w14:textId="77777777" w:rsidR="00286D5F" w:rsidRPr="00B47A5D" w:rsidRDefault="00286D5F" w:rsidP="00341565">
      <w:pPr>
        <w:spacing w:after="82" w:line="259" w:lineRule="auto"/>
        <w:ind w:left="0" w:firstLine="0"/>
        <w:rPr>
          <w:b/>
          <w:bCs/>
          <w:sz w:val="22"/>
          <w:szCs w:val="22"/>
        </w:rPr>
      </w:pPr>
    </w:p>
    <w:p w14:paraId="0AA60C76" w14:textId="2947C7EE" w:rsidR="00341565" w:rsidRPr="00B47A5D" w:rsidRDefault="00341565" w:rsidP="00341565">
      <w:pPr>
        <w:spacing w:after="82" w:line="259" w:lineRule="auto"/>
        <w:ind w:left="0" w:firstLine="0"/>
        <w:rPr>
          <w:b/>
          <w:bCs/>
          <w:sz w:val="22"/>
          <w:szCs w:val="22"/>
        </w:rPr>
      </w:pPr>
      <w:r w:rsidRPr="00B47A5D">
        <w:rPr>
          <w:b/>
          <w:bCs/>
          <w:sz w:val="22"/>
          <w:szCs w:val="22"/>
        </w:rPr>
        <w:t>Compostable Packaging</w:t>
      </w:r>
    </w:p>
    <w:p w14:paraId="61EDD99D" w14:textId="77777777" w:rsidR="001218DF" w:rsidRDefault="00341565" w:rsidP="00341565">
      <w:pPr>
        <w:spacing w:after="82" w:line="259" w:lineRule="auto"/>
        <w:ind w:left="0" w:firstLine="0"/>
        <w:rPr>
          <w:sz w:val="22"/>
          <w:szCs w:val="22"/>
        </w:rPr>
      </w:pPr>
      <w:r w:rsidRPr="00B47A5D">
        <w:rPr>
          <w:sz w:val="22"/>
          <w:szCs w:val="22"/>
        </w:rPr>
        <w:t xml:space="preserve">Where compostable packaging is mandated or appropriate, we will ensure compliance with PPWR criteria for industrial </w:t>
      </w:r>
      <w:r w:rsidR="001218DF" w:rsidRPr="00B47A5D">
        <w:rPr>
          <w:sz w:val="22"/>
          <w:szCs w:val="22"/>
        </w:rPr>
        <w:t>composability</w:t>
      </w:r>
      <w:r w:rsidRPr="00B47A5D">
        <w:rPr>
          <w:sz w:val="22"/>
          <w:szCs w:val="22"/>
        </w:rPr>
        <w:t>.</w:t>
      </w:r>
    </w:p>
    <w:p w14:paraId="1F38C623" w14:textId="0C5CDF44" w:rsidR="00341565" w:rsidRPr="00B47A5D" w:rsidRDefault="00341565" w:rsidP="00341565">
      <w:pPr>
        <w:spacing w:after="82" w:line="259" w:lineRule="auto"/>
        <w:ind w:left="0" w:firstLine="0"/>
        <w:rPr>
          <w:sz w:val="22"/>
          <w:szCs w:val="22"/>
        </w:rPr>
      </w:pPr>
      <w:r w:rsidRPr="00B47A5D">
        <w:rPr>
          <w:sz w:val="22"/>
          <w:szCs w:val="22"/>
        </w:rPr>
        <w:t xml:space="preserve"> </w:t>
      </w:r>
    </w:p>
    <w:p w14:paraId="7A1CF4CB" w14:textId="77777777" w:rsidR="00286D5F" w:rsidRPr="00B47A5D" w:rsidRDefault="00286D5F" w:rsidP="00341565">
      <w:pPr>
        <w:spacing w:after="82" w:line="259" w:lineRule="auto"/>
        <w:ind w:left="0" w:firstLine="0"/>
        <w:rPr>
          <w:b/>
          <w:bCs/>
          <w:sz w:val="22"/>
          <w:szCs w:val="22"/>
        </w:rPr>
      </w:pPr>
    </w:p>
    <w:p w14:paraId="6CAAC686" w14:textId="45D9A103" w:rsidR="00341565" w:rsidRPr="00B47A5D" w:rsidRDefault="00341565" w:rsidP="00341565">
      <w:pPr>
        <w:spacing w:after="82" w:line="259" w:lineRule="auto"/>
        <w:ind w:left="0" w:firstLine="0"/>
        <w:rPr>
          <w:b/>
          <w:bCs/>
          <w:sz w:val="22"/>
          <w:szCs w:val="22"/>
        </w:rPr>
      </w:pPr>
      <w:r w:rsidRPr="00B47A5D">
        <w:rPr>
          <w:b/>
          <w:bCs/>
          <w:sz w:val="22"/>
          <w:szCs w:val="22"/>
        </w:rPr>
        <w:lastRenderedPageBreak/>
        <w:t>Implementation and Continuous Improvement</w:t>
      </w:r>
    </w:p>
    <w:p w14:paraId="6E8EEA3A" w14:textId="23D44B6C" w:rsidR="00341565" w:rsidRPr="00B47A5D" w:rsidRDefault="00341565" w:rsidP="00341565">
      <w:pPr>
        <w:spacing w:after="82" w:line="259" w:lineRule="auto"/>
        <w:ind w:left="0" w:firstLine="0"/>
        <w:rPr>
          <w:sz w:val="22"/>
          <w:szCs w:val="22"/>
        </w:rPr>
      </w:pPr>
      <w:r w:rsidRPr="00B47A5D">
        <w:rPr>
          <w:sz w:val="22"/>
          <w:szCs w:val="22"/>
        </w:rPr>
        <w:t>We will monitor regulatory updates, delegated acts, and guidance issued by the European Commission to ensure ongoing compliance. We will continuously improve our packaging systems to exceed minimum requirements and support long</w:t>
      </w:r>
      <w:r w:rsidRPr="00B47A5D">
        <w:rPr>
          <w:sz w:val="22"/>
          <w:szCs w:val="22"/>
        </w:rPr>
        <w:noBreakHyphen/>
        <w:t>term environmental sustainability</w:t>
      </w:r>
      <w:r w:rsidR="00286D5F" w:rsidRPr="00B47A5D">
        <w:rPr>
          <w:sz w:val="22"/>
          <w:szCs w:val="22"/>
        </w:rPr>
        <w:t xml:space="preserve"> in-line with our company sustainability commitments which are monitored via our ISO 14001 EMS system</w:t>
      </w:r>
      <w:r w:rsidRPr="00B47A5D">
        <w:rPr>
          <w:sz w:val="22"/>
          <w:szCs w:val="22"/>
        </w:rPr>
        <w:t xml:space="preserve">. </w:t>
      </w:r>
    </w:p>
    <w:p w14:paraId="6B67FED2" w14:textId="77777777" w:rsidR="00286D5F" w:rsidRPr="00B47A5D" w:rsidRDefault="00286D5F" w:rsidP="00341565">
      <w:pPr>
        <w:spacing w:after="82" w:line="259" w:lineRule="auto"/>
        <w:ind w:left="0" w:firstLine="0"/>
        <w:rPr>
          <w:sz w:val="22"/>
          <w:szCs w:val="22"/>
        </w:rPr>
      </w:pPr>
    </w:p>
    <w:p w14:paraId="7BBCB478" w14:textId="77935D1C" w:rsidR="00341565" w:rsidRPr="00B47A5D" w:rsidRDefault="00341565" w:rsidP="00341565">
      <w:pPr>
        <w:spacing w:after="82" w:line="259" w:lineRule="auto"/>
        <w:ind w:left="0" w:firstLine="0"/>
        <w:rPr>
          <w:b/>
          <w:bCs/>
          <w:sz w:val="22"/>
          <w:szCs w:val="22"/>
        </w:rPr>
      </w:pPr>
      <w:r w:rsidRPr="00B47A5D">
        <w:rPr>
          <w:b/>
          <w:bCs/>
          <w:sz w:val="22"/>
          <w:szCs w:val="22"/>
        </w:rPr>
        <w:t>Governance</w:t>
      </w:r>
    </w:p>
    <w:p w14:paraId="1164541C" w14:textId="77777777" w:rsidR="00341565" w:rsidRPr="00B47A5D" w:rsidRDefault="00341565" w:rsidP="00341565">
      <w:pPr>
        <w:spacing w:after="82" w:line="259" w:lineRule="auto"/>
        <w:ind w:left="0" w:firstLine="0"/>
        <w:rPr>
          <w:sz w:val="22"/>
          <w:szCs w:val="22"/>
        </w:rPr>
      </w:pPr>
      <w:r w:rsidRPr="00B47A5D">
        <w:rPr>
          <w:sz w:val="22"/>
          <w:szCs w:val="22"/>
        </w:rPr>
        <w:t>Responsibility for PPWR compliance rests with senior management, supported by cross</w:t>
      </w:r>
      <w:r w:rsidRPr="00B47A5D">
        <w:rPr>
          <w:sz w:val="22"/>
          <w:szCs w:val="22"/>
        </w:rPr>
        <w:noBreakHyphen/>
        <w:t>functional teams in packaging design, procurement, sustainability, and regulatory affairs. Regular internal reviews will ensure adherence to this policy.</w:t>
      </w:r>
    </w:p>
    <w:p w14:paraId="2C58B22B" w14:textId="77777777" w:rsidR="00286D5F" w:rsidRPr="00B47A5D" w:rsidRDefault="00286D5F" w:rsidP="00341565">
      <w:pPr>
        <w:spacing w:after="82" w:line="259" w:lineRule="auto"/>
        <w:ind w:left="0" w:firstLine="0"/>
        <w:rPr>
          <w:sz w:val="22"/>
          <w:szCs w:val="22"/>
        </w:rPr>
      </w:pPr>
    </w:p>
    <w:p w14:paraId="045E2668" w14:textId="77777777" w:rsidR="00C97B7D" w:rsidRPr="00B47A5D" w:rsidRDefault="00C97B7D" w:rsidP="00B21D4C">
      <w:pPr>
        <w:spacing w:after="82" w:line="259" w:lineRule="auto"/>
        <w:ind w:left="0" w:firstLine="0"/>
        <w:rPr>
          <w:b/>
          <w:sz w:val="24"/>
        </w:rPr>
      </w:pPr>
    </w:p>
    <w:p w14:paraId="4BBD100A" w14:textId="32D96E92" w:rsidR="000B6CD1" w:rsidRPr="00B47A5D" w:rsidRDefault="005051CB" w:rsidP="00286D5F">
      <w:pPr>
        <w:spacing w:after="82" w:line="259" w:lineRule="auto"/>
        <w:ind w:left="0" w:firstLine="0"/>
        <w:rPr>
          <w:b/>
          <w:color w:val="000000" w:themeColor="text1"/>
          <w:sz w:val="22"/>
          <w:szCs w:val="22"/>
        </w:rPr>
      </w:pPr>
      <w:r w:rsidRPr="00B47A5D">
        <w:rPr>
          <w:b/>
          <w:color w:val="000000" w:themeColor="text1"/>
          <w:sz w:val="24"/>
        </w:rPr>
        <w:t xml:space="preserve"> </w:t>
      </w:r>
      <w:r w:rsidR="00286D5F" w:rsidRPr="00B47A5D">
        <w:rPr>
          <w:b/>
          <w:color w:val="000000" w:themeColor="text1"/>
          <w:sz w:val="22"/>
          <w:szCs w:val="22"/>
        </w:rPr>
        <w:t>Dan</w:t>
      </w:r>
      <w:r w:rsidR="00B47A5D">
        <w:rPr>
          <w:b/>
          <w:color w:val="000000" w:themeColor="text1"/>
          <w:sz w:val="22"/>
          <w:szCs w:val="22"/>
        </w:rPr>
        <w:t>iel</w:t>
      </w:r>
      <w:r w:rsidR="00286D5F" w:rsidRPr="00B47A5D">
        <w:rPr>
          <w:b/>
          <w:color w:val="000000" w:themeColor="text1"/>
          <w:sz w:val="22"/>
          <w:szCs w:val="22"/>
        </w:rPr>
        <w:t xml:space="preserve"> Johnston </w:t>
      </w:r>
      <w:r w:rsidR="00B21D4C" w:rsidRPr="00B47A5D">
        <w:rPr>
          <w:b/>
          <w:color w:val="000000" w:themeColor="text1"/>
          <w:sz w:val="24"/>
        </w:rPr>
        <w:tab/>
      </w:r>
      <w:r w:rsidR="00B21D4C" w:rsidRPr="00B47A5D">
        <w:rPr>
          <w:b/>
          <w:color w:val="000000" w:themeColor="text1"/>
          <w:sz w:val="18"/>
        </w:rPr>
        <w:tab/>
      </w:r>
      <w:r w:rsidR="00B21D4C" w:rsidRPr="00B47A5D">
        <w:rPr>
          <w:b/>
          <w:color w:val="000000" w:themeColor="text1"/>
          <w:sz w:val="18"/>
        </w:rPr>
        <w:tab/>
      </w:r>
      <w:r w:rsidR="00B21D4C" w:rsidRPr="00B47A5D">
        <w:rPr>
          <w:b/>
          <w:color w:val="000000" w:themeColor="text1"/>
          <w:sz w:val="18"/>
        </w:rPr>
        <w:tab/>
      </w:r>
      <w:r w:rsidR="00B21D4C" w:rsidRPr="00B47A5D">
        <w:rPr>
          <w:b/>
          <w:color w:val="000000" w:themeColor="text1"/>
          <w:sz w:val="18"/>
        </w:rPr>
        <w:tab/>
      </w:r>
      <w:r w:rsidR="00B21D4C" w:rsidRPr="00B47A5D">
        <w:rPr>
          <w:b/>
          <w:color w:val="000000" w:themeColor="text1"/>
          <w:sz w:val="18"/>
        </w:rPr>
        <w:tab/>
      </w:r>
      <w:r w:rsidR="00B21D4C" w:rsidRPr="00B47A5D">
        <w:rPr>
          <w:b/>
          <w:color w:val="000000" w:themeColor="text1"/>
          <w:sz w:val="18"/>
        </w:rPr>
        <w:tab/>
      </w:r>
    </w:p>
    <w:p w14:paraId="0E484790" w14:textId="77777777" w:rsidR="000B6CD1" w:rsidRPr="00B47A5D" w:rsidRDefault="000B6CD1" w:rsidP="00B21D4C">
      <w:pPr>
        <w:spacing w:after="82" w:line="259" w:lineRule="auto"/>
        <w:ind w:left="0" w:firstLine="0"/>
        <w:rPr>
          <w:b/>
          <w:color w:val="000000" w:themeColor="text1"/>
          <w:sz w:val="22"/>
          <w:szCs w:val="22"/>
        </w:rPr>
      </w:pPr>
    </w:p>
    <w:p w14:paraId="55946B78" w14:textId="00CF3E9E" w:rsidR="00286D5F" w:rsidRPr="00B47A5D" w:rsidRDefault="0049661E" w:rsidP="00B21D4C">
      <w:pPr>
        <w:spacing w:after="82" w:line="259" w:lineRule="auto"/>
        <w:ind w:left="0" w:firstLine="0"/>
        <w:rPr>
          <w:b/>
          <w:color w:val="000000" w:themeColor="text1"/>
          <w:sz w:val="22"/>
          <w:szCs w:val="22"/>
        </w:rPr>
      </w:pPr>
      <w:r w:rsidRPr="00B47A5D">
        <w:rPr>
          <w:b/>
          <w:noProof/>
          <w:color w:val="000000" w:themeColor="text1"/>
          <w:sz w:val="22"/>
          <w:szCs w:val="22"/>
        </w:rPr>
        <w:drawing>
          <wp:inline distT="0" distB="0" distL="0" distR="0" wp14:anchorId="29A1E36E" wp14:editId="1462FDEC">
            <wp:extent cx="1390650" cy="599562"/>
            <wp:effectExtent l="0" t="0" r="0" b="0"/>
            <wp:docPr id="999281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81008" name=""/>
                    <pic:cNvPicPr/>
                  </pic:nvPicPr>
                  <pic:blipFill>
                    <a:blip r:embed="rId8"/>
                    <a:stretch>
                      <a:fillRect/>
                    </a:stretch>
                  </pic:blipFill>
                  <pic:spPr>
                    <a:xfrm>
                      <a:off x="0" y="0"/>
                      <a:ext cx="1394220" cy="601101"/>
                    </a:xfrm>
                    <a:prstGeom prst="rect">
                      <a:avLst/>
                    </a:prstGeom>
                  </pic:spPr>
                </pic:pic>
              </a:graphicData>
            </a:graphic>
          </wp:inline>
        </w:drawing>
      </w:r>
    </w:p>
    <w:p w14:paraId="217043C4" w14:textId="77777777" w:rsidR="00286D5F" w:rsidRPr="00B47A5D" w:rsidRDefault="00286D5F" w:rsidP="00B21D4C">
      <w:pPr>
        <w:spacing w:after="82" w:line="259" w:lineRule="auto"/>
        <w:ind w:left="0" w:firstLine="0"/>
        <w:rPr>
          <w:b/>
          <w:color w:val="000000" w:themeColor="text1"/>
          <w:sz w:val="22"/>
          <w:szCs w:val="22"/>
        </w:rPr>
      </w:pPr>
    </w:p>
    <w:p w14:paraId="0080AB80" w14:textId="00FCA96F" w:rsidR="00B21D4C" w:rsidRPr="00B47A5D" w:rsidRDefault="00286D5F" w:rsidP="00286D5F">
      <w:pPr>
        <w:spacing w:after="82" w:line="259" w:lineRule="auto"/>
        <w:ind w:left="0" w:firstLine="0"/>
        <w:rPr>
          <w:color w:val="000000" w:themeColor="text1"/>
          <w:sz w:val="22"/>
          <w:szCs w:val="22"/>
        </w:rPr>
      </w:pPr>
      <w:r w:rsidRPr="00B47A5D">
        <w:rPr>
          <w:b/>
          <w:color w:val="000000" w:themeColor="text1"/>
          <w:sz w:val="22"/>
          <w:szCs w:val="22"/>
        </w:rPr>
        <w:t xml:space="preserve"> Managing</w:t>
      </w:r>
      <w:r w:rsidR="005051CB" w:rsidRPr="00B47A5D">
        <w:rPr>
          <w:b/>
          <w:color w:val="000000" w:themeColor="text1"/>
          <w:sz w:val="22"/>
          <w:szCs w:val="22"/>
        </w:rPr>
        <w:t xml:space="preserve"> </w:t>
      </w:r>
      <w:r w:rsidR="00B21D4C" w:rsidRPr="00B47A5D">
        <w:rPr>
          <w:b/>
          <w:color w:val="000000" w:themeColor="text1"/>
          <w:sz w:val="22"/>
          <w:szCs w:val="22"/>
        </w:rPr>
        <w:t xml:space="preserve">Director   </w:t>
      </w:r>
      <w:r w:rsidR="00B21D4C" w:rsidRPr="00B47A5D">
        <w:rPr>
          <w:b/>
          <w:color w:val="000000" w:themeColor="text1"/>
          <w:sz w:val="22"/>
          <w:szCs w:val="22"/>
        </w:rPr>
        <w:tab/>
      </w:r>
      <w:r w:rsidR="00B21D4C" w:rsidRPr="00B47A5D">
        <w:rPr>
          <w:b/>
          <w:color w:val="000000" w:themeColor="text1"/>
          <w:sz w:val="22"/>
          <w:szCs w:val="22"/>
        </w:rPr>
        <w:tab/>
      </w:r>
      <w:r w:rsidR="00B21D4C" w:rsidRPr="00B47A5D">
        <w:rPr>
          <w:b/>
          <w:color w:val="000000" w:themeColor="text1"/>
          <w:sz w:val="22"/>
          <w:szCs w:val="22"/>
        </w:rPr>
        <w:tab/>
      </w:r>
      <w:r w:rsidR="00B21D4C" w:rsidRPr="00B47A5D">
        <w:rPr>
          <w:b/>
          <w:color w:val="000000" w:themeColor="text1"/>
          <w:sz w:val="22"/>
          <w:szCs w:val="22"/>
        </w:rPr>
        <w:tab/>
      </w:r>
      <w:r w:rsidR="00B21D4C" w:rsidRPr="00B47A5D">
        <w:rPr>
          <w:b/>
          <w:color w:val="000000" w:themeColor="text1"/>
          <w:sz w:val="22"/>
          <w:szCs w:val="22"/>
        </w:rPr>
        <w:tab/>
      </w:r>
      <w:r w:rsidR="00B21D4C" w:rsidRPr="00B47A5D">
        <w:rPr>
          <w:b/>
          <w:color w:val="000000" w:themeColor="text1"/>
          <w:sz w:val="22"/>
          <w:szCs w:val="22"/>
        </w:rPr>
        <w:tab/>
      </w:r>
      <w:r w:rsidR="00B21D4C" w:rsidRPr="00B47A5D">
        <w:rPr>
          <w:b/>
          <w:color w:val="000000" w:themeColor="text1"/>
          <w:sz w:val="22"/>
          <w:szCs w:val="22"/>
        </w:rPr>
        <w:tab/>
      </w:r>
    </w:p>
    <w:p w14:paraId="5222280F" w14:textId="77777777" w:rsidR="00B21D4C" w:rsidRPr="00B47A5D" w:rsidRDefault="00B21D4C" w:rsidP="00A92F50">
      <w:pPr>
        <w:ind w:left="705" w:firstLine="0"/>
        <w:rPr>
          <w:color w:val="000000" w:themeColor="text1"/>
        </w:rPr>
      </w:pPr>
    </w:p>
    <w:p w14:paraId="4B87FE75" w14:textId="5A73B5E6" w:rsidR="00797AFA" w:rsidRPr="00341565" w:rsidRDefault="00B21D4C" w:rsidP="00ED7EAE">
      <w:pPr>
        <w:ind w:left="0" w:firstLine="0"/>
        <w:rPr>
          <w:rFonts w:ascii="Arial Narrow" w:hAnsi="Arial Narrow" w:cs="Arial"/>
          <w:i/>
          <w:iCs/>
          <w:color w:val="EE0000"/>
          <w:sz w:val="18"/>
          <w:szCs w:val="18"/>
        </w:rPr>
      </w:pPr>
      <w:r w:rsidRPr="00341565">
        <w:rPr>
          <w:rFonts w:ascii="Arial Narrow" w:hAnsi="Arial Narrow" w:cs="Arial"/>
          <w:i/>
          <w:iCs/>
          <w:color w:val="EE0000"/>
          <w:sz w:val="18"/>
          <w:szCs w:val="18"/>
        </w:rPr>
        <w:tab/>
      </w:r>
      <w:r w:rsidRPr="00341565">
        <w:rPr>
          <w:rFonts w:ascii="Arial Narrow" w:hAnsi="Arial Narrow" w:cs="Arial"/>
          <w:i/>
          <w:iCs/>
          <w:color w:val="EE0000"/>
          <w:sz w:val="18"/>
          <w:szCs w:val="18"/>
        </w:rPr>
        <w:tab/>
      </w:r>
      <w:r w:rsidRPr="00341565">
        <w:rPr>
          <w:rFonts w:ascii="Arial Narrow" w:hAnsi="Arial Narrow" w:cs="Arial"/>
          <w:i/>
          <w:iCs/>
          <w:color w:val="EE0000"/>
          <w:sz w:val="18"/>
          <w:szCs w:val="18"/>
        </w:rPr>
        <w:tab/>
      </w:r>
      <w:r w:rsidRPr="00341565">
        <w:rPr>
          <w:rFonts w:ascii="Arial Narrow" w:hAnsi="Arial Narrow" w:cs="Arial"/>
          <w:i/>
          <w:iCs/>
          <w:color w:val="EE0000"/>
          <w:sz w:val="18"/>
          <w:szCs w:val="18"/>
        </w:rPr>
        <w:tab/>
      </w:r>
      <w:r w:rsidRPr="00341565">
        <w:rPr>
          <w:rFonts w:ascii="Arial Narrow" w:hAnsi="Arial Narrow" w:cs="Arial"/>
          <w:i/>
          <w:iCs/>
          <w:color w:val="EE0000"/>
          <w:sz w:val="18"/>
          <w:szCs w:val="18"/>
        </w:rPr>
        <w:tab/>
      </w:r>
      <w:r w:rsidR="005051CB" w:rsidRPr="00341565">
        <w:rPr>
          <w:rFonts w:ascii="Arial Narrow" w:hAnsi="Arial Narrow" w:cs="Arial"/>
          <w:i/>
          <w:iCs/>
          <w:color w:val="EE0000"/>
          <w:sz w:val="18"/>
          <w:szCs w:val="18"/>
        </w:rPr>
        <w:t xml:space="preserve">              </w:t>
      </w:r>
      <w:r w:rsidR="000260AD" w:rsidRPr="00341565">
        <w:rPr>
          <w:rFonts w:ascii="Arial Narrow" w:hAnsi="Arial Narrow" w:cs="Arial"/>
          <w:i/>
          <w:iCs/>
          <w:color w:val="EE0000"/>
          <w:sz w:val="18"/>
          <w:szCs w:val="18"/>
        </w:rPr>
        <w:tab/>
      </w:r>
    </w:p>
    <w:p w14:paraId="2DAA5831" w14:textId="71C6DA32" w:rsidR="0045752C" w:rsidRDefault="0045752C" w:rsidP="00B21D4C">
      <w:pPr>
        <w:ind w:left="0" w:firstLine="0"/>
        <w:rPr>
          <w:rFonts w:ascii="Arial Narrow" w:hAnsi="Arial Narrow" w:cs="Arial"/>
          <w:b/>
          <w:bCs/>
          <w:color w:val="EE0000"/>
        </w:rPr>
      </w:pPr>
    </w:p>
    <w:p w14:paraId="7D8D4134" w14:textId="77777777" w:rsidR="00B47A5D" w:rsidRPr="00B47A5D" w:rsidRDefault="00B47A5D" w:rsidP="00B47A5D">
      <w:pPr>
        <w:rPr>
          <w:rFonts w:ascii="Arial Narrow" w:hAnsi="Arial Narrow" w:cs="Arial"/>
        </w:rPr>
      </w:pPr>
    </w:p>
    <w:p w14:paraId="65AA9B2F" w14:textId="77777777" w:rsidR="00B47A5D" w:rsidRPr="00B47A5D" w:rsidRDefault="00B47A5D" w:rsidP="00B47A5D">
      <w:pPr>
        <w:rPr>
          <w:rFonts w:ascii="Arial Narrow" w:hAnsi="Arial Narrow" w:cs="Arial"/>
        </w:rPr>
      </w:pPr>
    </w:p>
    <w:p w14:paraId="566FD275" w14:textId="77777777" w:rsidR="00B47A5D" w:rsidRPr="00B47A5D" w:rsidRDefault="00B47A5D" w:rsidP="00B47A5D">
      <w:pPr>
        <w:rPr>
          <w:rFonts w:ascii="Arial Narrow" w:hAnsi="Arial Narrow" w:cs="Arial"/>
        </w:rPr>
      </w:pPr>
    </w:p>
    <w:p w14:paraId="1234D5C1" w14:textId="77777777" w:rsidR="00B47A5D" w:rsidRPr="00B47A5D" w:rsidRDefault="00B47A5D" w:rsidP="00B47A5D">
      <w:pPr>
        <w:rPr>
          <w:rFonts w:ascii="Arial Narrow" w:hAnsi="Arial Narrow" w:cs="Arial"/>
        </w:rPr>
      </w:pPr>
    </w:p>
    <w:p w14:paraId="611975B0" w14:textId="77777777" w:rsidR="00B47A5D" w:rsidRPr="00B47A5D" w:rsidRDefault="00B47A5D" w:rsidP="00B47A5D">
      <w:pPr>
        <w:rPr>
          <w:rFonts w:ascii="Arial Narrow" w:hAnsi="Arial Narrow" w:cs="Arial"/>
        </w:rPr>
      </w:pPr>
    </w:p>
    <w:p w14:paraId="1E6F13C5" w14:textId="77777777" w:rsidR="00B47A5D" w:rsidRPr="00B47A5D" w:rsidRDefault="00B47A5D" w:rsidP="00B47A5D">
      <w:pPr>
        <w:rPr>
          <w:rFonts w:ascii="Arial Narrow" w:hAnsi="Arial Narrow" w:cs="Arial"/>
        </w:rPr>
      </w:pPr>
    </w:p>
    <w:p w14:paraId="5206ACEF" w14:textId="77777777" w:rsidR="00B47A5D" w:rsidRPr="00B47A5D" w:rsidRDefault="00B47A5D" w:rsidP="00B47A5D">
      <w:pPr>
        <w:rPr>
          <w:rFonts w:ascii="Arial Narrow" w:hAnsi="Arial Narrow" w:cs="Arial"/>
        </w:rPr>
      </w:pPr>
    </w:p>
    <w:p w14:paraId="5DB374A5" w14:textId="77777777" w:rsidR="00B47A5D" w:rsidRPr="00B47A5D" w:rsidRDefault="00B47A5D" w:rsidP="00B47A5D">
      <w:pPr>
        <w:rPr>
          <w:rFonts w:ascii="Arial Narrow" w:hAnsi="Arial Narrow" w:cs="Arial"/>
        </w:rPr>
      </w:pPr>
    </w:p>
    <w:p w14:paraId="2641646D" w14:textId="77777777" w:rsidR="00B47A5D" w:rsidRPr="00B47A5D" w:rsidRDefault="00B47A5D" w:rsidP="00B47A5D">
      <w:pPr>
        <w:rPr>
          <w:rFonts w:ascii="Arial Narrow" w:hAnsi="Arial Narrow" w:cs="Arial"/>
        </w:rPr>
      </w:pPr>
    </w:p>
    <w:p w14:paraId="317943ED" w14:textId="77777777" w:rsidR="00B47A5D" w:rsidRPr="00B47A5D" w:rsidRDefault="00B47A5D" w:rsidP="00B47A5D">
      <w:pPr>
        <w:rPr>
          <w:rFonts w:ascii="Arial Narrow" w:hAnsi="Arial Narrow" w:cs="Arial"/>
        </w:rPr>
      </w:pPr>
    </w:p>
    <w:p w14:paraId="052ECD83" w14:textId="08C8412A" w:rsidR="00B47A5D" w:rsidRPr="00B47A5D" w:rsidRDefault="00B47A5D" w:rsidP="00B47A5D">
      <w:pPr>
        <w:rPr>
          <w:rFonts w:ascii="Arial Narrow" w:hAnsi="Arial Narrow" w:cs="Arial"/>
        </w:rPr>
      </w:pPr>
      <w:r>
        <w:rPr>
          <w:rFonts w:ascii="Arial Narrow" w:hAnsi="Arial Narrow" w:cs="Arial"/>
        </w:rPr>
        <w:t xml:space="preserve"> </w:t>
      </w:r>
    </w:p>
    <w:p w14:paraId="51C9B346" w14:textId="77777777" w:rsidR="00B47A5D" w:rsidRPr="00B47A5D" w:rsidRDefault="00B47A5D" w:rsidP="00B47A5D">
      <w:pPr>
        <w:rPr>
          <w:rFonts w:ascii="Arial Narrow" w:hAnsi="Arial Narrow" w:cs="Arial"/>
        </w:rPr>
      </w:pPr>
    </w:p>
    <w:p w14:paraId="178A4889" w14:textId="77777777" w:rsidR="00B47A5D" w:rsidRPr="00B47A5D" w:rsidRDefault="00B47A5D" w:rsidP="00B47A5D">
      <w:pPr>
        <w:rPr>
          <w:rFonts w:ascii="Arial Narrow" w:hAnsi="Arial Narrow" w:cs="Arial"/>
        </w:rPr>
      </w:pPr>
    </w:p>
    <w:p w14:paraId="2EAE04AF" w14:textId="77777777" w:rsidR="00B47A5D" w:rsidRPr="00B47A5D" w:rsidRDefault="00B47A5D" w:rsidP="00B47A5D">
      <w:pPr>
        <w:rPr>
          <w:rFonts w:ascii="Arial Narrow" w:hAnsi="Arial Narrow" w:cs="Arial"/>
        </w:rPr>
      </w:pPr>
    </w:p>
    <w:p w14:paraId="5C437264" w14:textId="77777777" w:rsidR="00B47A5D" w:rsidRPr="00B47A5D" w:rsidRDefault="00B47A5D" w:rsidP="00B47A5D">
      <w:pPr>
        <w:rPr>
          <w:rFonts w:ascii="Arial Narrow" w:hAnsi="Arial Narrow" w:cs="Arial"/>
        </w:rPr>
      </w:pPr>
    </w:p>
    <w:p w14:paraId="631AA060" w14:textId="77777777" w:rsidR="00B47A5D" w:rsidRPr="00B47A5D" w:rsidRDefault="00B47A5D" w:rsidP="00B47A5D">
      <w:pPr>
        <w:rPr>
          <w:rFonts w:ascii="Arial Narrow" w:hAnsi="Arial Narrow" w:cs="Arial"/>
        </w:rPr>
      </w:pPr>
    </w:p>
    <w:p w14:paraId="56E5AB30" w14:textId="48B3818D" w:rsidR="00B47A5D" w:rsidRPr="00B47A5D" w:rsidRDefault="00B47A5D" w:rsidP="00B47A5D">
      <w:pPr>
        <w:tabs>
          <w:tab w:val="left" w:pos="3375"/>
        </w:tabs>
        <w:rPr>
          <w:rFonts w:ascii="Arial Narrow" w:hAnsi="Arial Narrow" w:cs="Arial"/>
        </w:rPr>
      </w:pPr>
      <w:r>
        <w:rPr>
          <w:rFonts w:ascii="Arial Narrow" w:hAnsi="Arial Narrow" w:cs="Arial"/>
        </w:rPr>
        <w:tab/>
      </w:r>
      <w:r>
        <w:rPr>
          <w:rFonts w:ascii="Arial Narrow" w:hAnsi="Arial Narrow" w:cs="Arial"/>
        </w:rPr>
        <w:tab/>
      </w:r>
    </w:p>
    <w:sectPr w:rsidR="00B47A5D" w:rsidRPr="00B47A5D" w:rsidSect="00B47A5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A020" w14:textId="77777777" w:rsidR="00C3512C" w:rsidRDefault="00C3512C" w:rsidP="00C47C0B">
      <w:pPr>
        <w:spacing w:after="0" w:line="240" w:lineRule="auto"/>
      </w:pPr>
      <w:r>
        <w:separator/>
      </w:r>
    </w:p>
  </w:endnote>
  <w:endnote w:type="continuationSeparator" w:id="0">
    <w:p w14:paraId="0D252CBB" w14:textId="77777777" w:rsidR="00C3512C" w:rsidRDefault="00C3512C" w:rsidP="00C4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83DE" w14:textId="3A1D1555" w:rsidR="00C47C0B" w:rsidRPr="00C47C0B" w:rsidRDefault="00B47A5D" w:rsidP="00B47A5D">
    <w:pPr>
      <w:pStyle w:val="Footer"/>
      <w:ind w:left="0" w:firstLine="0"/>
      <w:rPr>
        <w:sz w:val="16"/>
        <w:szCs w:val="16"/>
      </w:rPr>
    </w:pPr>
    <w:r>
      <w:rPr>
        <w:sz w:val="16"/>
        <w:szCs w:val="16"/>
      </w:rPr>
      <w:t>Issue 1</w:t>
    </w:r>
    <w:r>
      <w:rPr>
        <w:sz w:val="16"/>
        <w:szCs w:val="16"/>
      </w:rPr>
      <w:tab/>
      <w:t>01/03/2026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7152" w14:textId="77777777" w:rsidR="00C3512C" w:rsidRDefault="00C3512C" w:rsidP="00C47C0B">
      <w:pPr>
        <w:spacing w:after="0" w:line="240" w:lineRule="auto"/>
      </w:pPr>
      <w:r>
        <w:separator/>
      </w:r>
    </w:p>
  </w:footnote>
  <w:footnote w:type="continuationSeparator" w:id="0">
    <w:p w14:paraId="3A2FDD90" w14:textId="77777777" w:rsidR="00C3512C" w:rsidRDefault="00C3512C" w:rsidP="00C47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77004"/>
    <w:multiLevelType w:val="multilevel"/>
    <w:tmpl w:val="14B0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31102"/>
    <w:multiLevelType w:val="multilevel"/>
    <w:tmpl w:val="450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17B42"/>
    <w:multiLevelType w:val="hybridMultilevel"/>
    <w:tmpl w:val="DFBE24EC"/>
    <w:lvl w:ilvl="0" w:tplc="F6B89EE0">
      <w:start w:val="1"/>
      <w:numFmt w:val="bullet"/>
      <w:lvlText w:val="•"/>
      <w:lvlJc w:val="left"/>
      <w:pPr>
        <w:ind w:left="705"/>
      </w:pPr>
      <w:rPr>
        <w:rFonts w:ascii="Arial" w:eastAsia="Arial" w:hAnsi="Arial" w:cs="Arial"/>
        <w:b w:val="0"/>
        <w:i w:val="0"/>
        <w:strike w:val="0"/>
        <w:dstrike w:val="0"/>
        <w:color w:val="FCD01F"/>
        <w:sz w:val="43"/>
        <w:szCs w:val="43"/>
        <w:u w:val="none" w:color="000000"/>
        <w:bdr w:val="none" w:sz="0" w:space="0" w:color="auto"/>
        <w:shd w:val="clear" w:color="auto" w:fill="auto"/>
        <w:vertAlign w:val="superscript"/>
      </w:rPr>
    </w:lvl>
    <w:lvl w:ilvl="1" w:tplc="A3A2F356">
      <w:start w:val="1"/>
      <w:numFmt w:val="bullet"/>
      <w:lvlText w:val="o"/>
      <w:lvlJc w:val="left"/>
      <w:pPr>
        <w:ind w:left="1440"/>
      </w:pPr>
      <w:rPr>
        <w:rFonts w:ascii="Segoe UI Symbol" w:eastAsia="Segoe UI Symbol" w:hAnsi="Segoe UI Symbol" w:cs="Segoe UI Symbol"/>
        <w:b w:val="0"/>
        <w:i w:val="0"/>
        <w:strike w:val="0"/>
        <w:dstrike w:val="0"/>
        <w:color w:val="FCD01F"/>
        <w:sz w:val="43"/>
        <w:szCs w:val="43"/>
        <w:u w:val="none" w:color="000000"/>
        <w:bdr w:val="none" w:sz="0" w:space="0" w:color="auto"/>
        <w:shd w:val="clear" w:color="auto" w:fill="auto"/>
        <w:vertAlign w:val="superscript"/>
      </w:rPr>
    </w:lvl>
    <w:lvl w:ilvl="2" w:tplc="E5581D02">
      <w:start w:val="1"/>
      <w:numFmt w:val="bullet"/>
      <w:lvlText w:val="▪"/>
      <w:lvlJc w:val="left"/>
      <w:pPr>
        <w:ind w:left="2160"/>
      </w:pPr>
      <w:rPr>
        <w:rFonts w:ascii="Segoe UI Symbol" w:eastAsia="Segoe UI Symbol" w:hAnsi="Segoe UI Symbol" w:cs="Segoe UI Symbol"/>
        <w:b w:val="0"/>
        <w:i w:val="0"/>
        <w:strike w:val="0"/>
        <w:dstrike w:val="0"/>
        <w:color w:val="FCD01F"/>
        <w:sz w:val="43"/>
        <w:szCs w:val="43"/>
        <w:u w:val="none" w:color="000000"/>
        <w:bdr w:val="none" w:sz="0" w:space="0" w:color="auto"/>
        <w:shd w:val="clear" w:color="auto" w:fill="auto"/>
        <w:vertAlign w:val="superscript"/>
      </w:rPr>
    </w:lvl>
    <w:lvl w:ilvl="3" w:tplc="32A2F5B2">
      <w:start w:val="1"/>
      <w:numFmt w:val="bullet"/>
      <w:lvlText w:val="•"/>
      <w:lvlJc w:val="left"/>
      <w:pPr>
        <w:ind w:left="2880"/>
      </w:pPr>
      <w:rPr>
        <w:rFonts w:ascii="Arial" w:eastAsia="Arial" w:hAnsi="Arial" w:cs="Arial"/>
        <w:b w:val="0"/>
        <w:i w:val="0"/>
        <w:strike w:val="0"/>
        <w:dstrike w:val="0"/>
        <w:color w:val="FCD01F"/>
        <w:sz w:val="43"/>
        <w:szCs w:val="43"/>
        <w:u w:val="none" w:color="000000"/>
        <w:bdr w:val="none" w:sz="0" w:space="0" w:color="auto"/>
        <w:shd w:val="clear" w:color="auto" w:fill="auto"/>
        <w:vertAlign w:val="superscript"/>
      </w:rPr>
    </w:lvl>
    <w:lvl w:ilvl="4" w:tplc="36105336">
      <w:start w:val="1"/>
      <w:numFmt w:val="bullet"/>
      <w:lvlText w:val="o"/>
      <w:lvlJc w:val="left"/>
      <w:pPr>
        <w:ind w:left="3600"/>
      </w:pPr>
      <w:rPr>
        <w:rFonts w:ascii="Segoe UI Symbol" w:eastAsia="Segoe UI Symbol" w:hAnsi="Segoe UI Symbol" w:cs="Segoe UI Symbol"/>
        <w:b w:val="0"/>
        <w:i w:val="0"/>
        <w:strike w:val="0"/>
        <w:dstrike w:val="0"/>
        <w:color w:val="FCD01F"/>
        <w:sz w:val="43"/>
        <w:szCs w:val="43"/>
        <w:u w:val="none" w:color="000000"/>
        <w:bdr w:val="none" w:sz="0" w:space="0" w:color="auto"/>
        <w:shd w:val="clear" w:color="auto" w:fill="auto"/>
        <w:vertAlign w:val="superscript"/>
      </w:rPr>
    </w:lvl>
    <w:lvl w:ilvl="5" w:tplc="9420F652">
      <w:start w:val="1"/>
      <w:numFmt w:val="bullet"/>
      <w:lvlText w:val="▪"/>
      <w:lvlJc w:val="left"/>
      <w:pPr>
        <w:ind w:left="4320"/>
      </w:pPr>
      <w:rPr>
        <w:rFonts w:ascii="Segoe UI Symbol" w:eastAsia="Segoe UI Symbol" w:hAnsi="Segoe UI Symbol" w:cs="Segoe UI Symbol"/>
        <w:b w:val="0"/>
        <w:i w:val="0"/>
        <w:strike w:val="0"/>
        <w:dstrike w:val="0"/>
        <w:color w:val="FCD01F"/>
        <w:sz w:val="43"/>
        <w:szCs w:val="43"/>
        <w:u w:val="none" w:color="000000"/>
        <w:bdr w:val="none" w:sz="0" w:space="0" w:color="auto"/>
        <w:shd w:val="clear" w:color="auto" w:fill="auto"/>
        <w:vertAlign w:val="superscript"/>
      </w:rPr>
    </w:lvl>
    <w:lvl w:ilvl="6" w:tplc="359C33BA">
      <w:start w:val="1"/>
      <w:numFmt w:val="bullet"/>
      <w:lvlText w:val="•"/>
      <w:lvlJc w:val="left"/>
      <w:pPr>
        <w:ind w:left="5040"/>
      </w:pPr>
      <w:rPr>
        <w:rFonts w:ascii="Arial" w:eastAsia="Arial" w:hAnsi="Arial" w:cs="Arial"/>
        <w:b w:val="0"/>
        <w:i w:val="0"/>
        <w:strike w:val="0"/>
        <w:dstrike w:val="0"/>
        <w:color w:val="FCD01F"/>
        <w:sz w:val="43"/>
        <w:szCs w:val="43"/>
        <w:u w:val="none" w:color="000000"/>
        <w:bdr w:val="none" w:sz="0" w:space="0" w:color="auto"/>
        <w:shd w:val="clear" w:color="auto" w:fill="auto"/>
        <w:vertAlign w:val="superscript"/>
      </w:rPr>
    </w:lvl>
    <w:lvl w:ilvl="7" w:tplc="E514B48C">
      <w:start w:val="1"/>
      <w:numFmt w:val="bullet"/>
      <w:lvlText w:val="o"/>
      <w:lvlJc w:val="left"/>
      <w:pPr>
        <w:ind w:left="5760"/>
      </w:pPr>
      <w:rPr>
        <w:rFonts w:ascii="Segoe UI Symbol" w:eastAsia="Segoe UI Symbol" w:hAnsi="Segoe UI Symbol" w:cs="Segoe UI Symbol"/>
        <w:b w:val="0"/>
        <w:i w:val="0"/>
        <w:strike w:val="0"/>
        <w:dstrike w:val="0"/>
        <w:color w:val="FCD01F"/>
        <w:sz w:val="43"/>
        <w:szCs w:val="43"/>
        <w:u w:val="none" w:color="000000"/>
        <w:bdr w:val="none" w:sz="0" w:space="0" w:color="auto"/>
        <w:shd w:val="clear" w:color="auto" w:fill="auto"/>
        <w:vertAlign w:val="superscript"/>
      </w:rPr>
    </w:lvl>
    <w:lvl w:ilvl="8" w:tplc="DE2E41C2">
      <w:start w:val="1"/>
      <w:numFmt w:val="bullet"/>
      <w:lvlText w:val="▪"/>
      <w:lvlJc w:val="left"/>
      <w:pPr>
        <w:ind w:left="6480"/>
      </w:pPr>
      <w:rPr>
        <w:rFonts w:ascii="Segoe UI Symbol" w:eastAsia="Segoe UI Symbol" w:hAnsi="Segoe UI Symbol" w:cs="Segoe UI Symbol"/>
        <w:b w:val="0"/>
        <w:i w:val="0"/>
        <w:strike w:val="0"/>
        <w:dstrike w:val="0"/>
        <w:color w:val="FCD01F"/>
        <w:sz w:val="43"/>
        <w:szCs w:val="43"/>
        <w:u w:val="none" w:color="000000"/>
        <w:bdr w:val="none" w:sz="0" w:space="0" w:color="auto"/>
        <w:shd w:val="clear" w:color="auto" w:fill="auto"/>
        <w:vertAlign w:val="superscript"/>
      </w:rPr>
    </w:lvl>
  </w:abstractNum>
  <w:abstractNum w:abstractNumId="3" w15:restartNumberingAfterBreak="0">
    <w:nsid w:val="47387AAF"/>
    <w:multiLevelType w:val="hybridMultilevel"/>
    <w:tmpl w:val="B93EFCEA"/>
    <w:lvl w:ilvl="0" w:tplc="55A2A850">
      <w:start w:val="1"/>
      <w:numFmt w:val="bullet"/>
      <w:lvlText w:val="•"/>
      <w:lvlJc w:val="left"/>
      <w:pPr>
        <w:ind w:left="705"/>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1" w:tplc="A3A43962">
      <w:start w:val="1"/>
      <w:numFmt w:val="bullet"/>
      <w:lvlText w:val="o"/>
      <w:lvlJc w:val="left"/>
      <w:pPr>
        <w:ind w:left="144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2" w:tplc="D2769558">
      <w:start w:val="1"/>
      <w:numFmt w:val="bullet"/>
      <w:lvlText w:val="▪"/>
      <w:lvlJc w:val="left"/>
      <w:pPr>
        <w:ind w:left="216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3" w:tplc="C116E174">
      <w:start w:val="1"/>
      <w:numFmt w:val="bullet"/>
      <w:lvlText w:val="•"/>
      <w:lvlJc w:val="left"/>
      <w:pPr>
        <w:ind w:left="2880"/>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4" w:tplc="C89A4B4E">
      <w:start w:val="1"/>
      <w:numFmt w:val="bullet"/>
      <w:lvlText w:val="o"/>
      <w:lvlJc w:val="left"/>
      <w:pPr>
        <w:ind w:left="360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5" w:tplc="6D04B5BC">
      <w:start w:val="1"/>
      <w:numFmt w:val="bullet"/>
      <w:lvlText w:val="▪"/>
      <w:lvlJc w:val="left"/>
      <w:pPr>
        <w:ind w:left="432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6" w:tplc="914A5C6A">
      <w:start w:val="1"/>
      <w:numFmt w:val="bullet"/>
      <w:lvlText w:val="•"/>
      <w:lvlJc w:val="left"/>
      <w:pPr>
        <w:ind w:left="5040"/>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7" w:tplc="A51811AE">
      <w:start w:val="1"/>
      <w:numFmt w:val="bullet"/>
      <w:lvlText w:val="o"/>
      <w:lvlJc w:val="left"/>
      <w:pPr>
        <w:ind w:left="576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8" w:tplc="AC9C6BF2">
      <w:start w:val="1"/>
      <w:numFmt w:val="bullet"/>
      <w:lvlText w:val="▪"/>
      <w:lvlJc w:val="left"/>
      <w:pPr>
        <w:ind w:left="648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abstractNum>
  <w:abstractNum w:abstractNumId="4" w15:restartNumberingAfterBreak="0">
    <w:nsid w:val="728C3AEF"/>
    <w:multiLevelType w:val="hybridMultilevel"/>
    <w:tmpl w:val="6AF6CAEC"/>
    <w:lvl w:ilvl="0" w:tplc="5EB4AB52">
      <w:start w:val="1"/>
      <w:numFmt w:val="bullet"/>
      <w:lvlText w:val="•"/>
      <w:lvlJc w:val="left"/>
      <w:pPr>
        <w:ind w:left="705"/>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1" w:tplc="E3B2B268">
      <w:start w:val="1"/>
      <w:numFmt w:val="bullet"/>
      <w:lvlText w:val="o"/>
      <w:lvlJc w:val="left"/>
      <w:pPr>
        <w:ind w:left="144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2" w:tplc="B1929DE4">
      <w:start w:val="1"/>
      <w:numFmt w:val="bullet"/>
      <w:lvlText w:val="▪"/>
      <w:lvlJc w:val="left"/>
      <w:pPr>
        <w:ind w:left="216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3" w:tplc="C6B6BE16">
      <w:start w:val="1"/>
      <w:numFmt w:val="bullet"/>
      <w:lvlText w:val="•"/>
      <w:lvlJc w:val="left"/>
      <w:pPr>
        <w:ind w:left="2880"/>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4" w:tplc="D916ABF2">
      <w:start w:val="1"/>
      <w:numFmt w:val="bullet"/>
      <w:lvlText w:val="o"/>
      <w:lvlJc w:val="left"/>
      <w:pPr>
        <w:ind w:left="360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5" w:tplc="FD8CAEEA">
      <w:start w:val="1"/>
      <w:numFmt w:val="bullet"/>
      <w:lvlText w:val="▪"/>
      <w:lvlJc w:val="left"/>
      <w:pPr>
        <w:ind w:left="432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6" w:tplc="FC04ACA2">
      <w:start w:val="1"/>
      <w:numFmt w:val="bullet"/>
      <w:lvlText w:val="•"/>
      <w:lvlJc w:val="left"/>
      <w:pPr>
        <w:ind w:left="5040"/>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7" w:tplc="304405F6">
      <w:start w:val="1"/>
      <w:numFmt w:val="bullet"/>
      <w:lvlText w:val="o"/>
      <w:lvlJc w:val="left"/>
      <w:pPr>
        <w:ind w:left="576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8" w:tplc="31947590">
      <w:start w:val="1"/>
      <w:numFmt w:val="bullet"/>
      <w:lvlText w:val="▪"/>
      <w:lvlJc w:val="left"/>
      <w:pPr>
        <w:ind w:left="648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abstractNum>
  <w:abstractNum w:abstractNumId="5" w15:restartNumberingAfterBreak="0">
    <w:nsid w:val="7F47185B"/>
    <w:multiLevelType w:val="hybridMultilevel"/>
    <w:tmpl w:val="FD2E7DF4"/>
    <w:lvl w:ilvl="0" w:tplc="8E0C0456">
      <w:start w:val="1"/>
      <w:numFmt w:val="bullet"/>
      <w:lvlText w:val="•"/>
      <w:lvlJc w:val="left"/>
      <w:pPr>
        <w:ind w:left="705"/>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1" w:tplc="C2C81B3E">
      <w:start w:val="1"/>
      <w:numFmt w:val="bullet"/>
      <w:lvlText w:val="o"/>
      <w:lvlJc w:val="left"/>
      <w:pPr>
        <w:ind w:left="144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2" w:tplc="9AC4B952">
      <w:start w:val="1"/>
      <w:numFmt w:val="bullet"/>
      <w:lvlText w:val="▪"/>
      <w:lvlJc w:val="left"/>
      <w:pPr>
        <w:ind w:left="216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3" w:tplc="00D2C7EA">
      <w:start w:val="1"/>
      <w:numFmt w:val="bullet"/>
      <w:lvlText w:val="•"/>
      <w:lvlJc w:val="left"/>
      <w:pPr>
        <w:ind w:left="2880"/>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4" w:tplc="DC2629DE">
      <w:start w:val="1"/>
      <w:numFmt w:val="bullet"/>
      <w:lvlText w:val="o"/>
      <w:lvlJc w:val="left"/>
      <w:pPr>
        <w:ind w:left="360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5" w:tplc="B456E3AA">
      <w:start w:val="1"/>
      <w:numFmt w:val="bullet"/>
      <w:lvlText w:val="▪"/>
      <w:lvlJc w:val="left"/>
      <w:pPr>
        <w:ind w:left="432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6" w:tplc="83AA969A">
      <w:start w:val="1"/>
      <w:numFmt w:val="bullet"/>
      <w:lvlText w:val="•"/>
      <w:lvlJc w:val="left"/>
      <w:pPr>
        <w:ind w:left="5040"/>
      </w:pPr>
      <w:rPr>
        <w:rFonts w:ascii="Arial" w:eastAsia="Arial" w:hAnsi="Arial" w:cs="Arial"/>
        <w:b w:val="0"/>
        <w:i w:val="0"/>
        <w:strike w:val="0"/>
        <w:dstrike w:val="0"/>
        <w:color w:val="FCD01F"/>
        <w:sz w:val="28"/>
        <w:szCs w:val="28"/>
        <w:u w:val="none" w:color="000000"/>
        <w:bdr w:val="none" w:sz="0" w:space="0" w:color="auto"/>
        <w:shd w:val="clear" w:color="auto" w:fill="auto"/>
        <w:vertAlign w:val="baseline"/>
      </w:rPr>
    </w:lvl>
    <w:lvl w:ilvl="7" w:tplc="FF588678">
      <w:start w:val="1"/>
      <w:numFmt w:val="bullet"/>
      <w:lvlText w:val="o"/>
      <w:lvlJc w:val="left"/>
      <w:pPr>
        <w:ind w:left="576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lvl w:ilvl="8" w:tplc="451EF662">
      <w:start w:val="1"/>
      <w:numFmt w:val="bullet"/>
      <w:lvlText w:val="▪"/>
      <w:lvlJc w:val="left"/>
      <w:pPr>
        <w:ind w:left="6480"/>
      </w:pPr>
      <w:rPr>
        <w:rFonts w:ascii="Segoe UI Symbol" w:eastAsia="Segoe UI Symbol" w:hAnsi="Segoe UI Symbol" w:cs="Segoe UI Symbol"/>
        <w:b w:val="0"/>
        <w:i w:val="0"/>
        <w:strike w:val="0"/>
        <w:dstrike w:val="0"/>
        <w:color w:val="FCD01F"/>
        <w:sz w:val="28"/>
        <w:szCs w:val="28"/>
        <w:u w:val="none" w:color="000000"/>
        <w:bdr w:val="none" w:sz="0" w:space="0" w:color="auto"/>
        <w:shd w:val="clear" w:color="auto" w:fill="auto"/>
        <w:vertAlign w:val="baseline"/>
      </w:rPr>
    </w:lvl>
  </w:abstractNum>
  <w:num w:numId="1" w16cid:durableId="1534073576">
    <w:abstractNumId w:val="5"/>
  </w:num>
  <w:num w:numId="2" w16cid:durableId="1265453856">
    <w:abstractNumId w:val="2"/>
  </w:num>
  <w:num w:numId="3" w16cid:durableId="127363099">
    <w:abstractNumId w:val="4"/>
  </w:num>
  <w:num w:numId="4" w16cid:durableId="1163354217">
    <w:abstractNumId w:val="3"/>
  </w:num>
  <w:num w:numId="5" w16cid:durableId="1786384752">
    <w:abstractNumId w:val="1"/>
  </w:num>
  <w:num w:numId="6" w16cid:durableId="64411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4C"/>
    <w:rsid w:val="00011F2A"/>
    <w:rsid w:val="00014A25"/>
    <w:rsid w:val="000260AD"/>
    <w:rsid w:val="00063C04"/>
    <w:rsid w:val="000A66DC"/>
    <w:rsid w:val="000B6CD1"/>
    <w:rsid w:val="000C003B"/>
    <w:rsid w:val="000E567B"/>
    <w:rsid w:val="001218DF"/>
    <w:rsid w:val="001F74F4"/>
    <w:rsid w:val="00213EAC"/>
    <w:rsid w:val="00254EAF"/>
    <w:rsid w:val="00256C31"/>
    <w:rsid w:val="00286BF4"/>
    <w:rsid w:val="00286D5F"/>
    <w:rsid w:val="002A0EA4"/>
    <w:rsid w:val="002E011F"/>
    <w:rsid w:val="00334CDF"/>
    <w:rsid w:val="00341565"/>
    <w:rsid w:val="003E7E2D"/>
    <w:rsid w:val="004078FA"/>
    <w:rsid w:val="004103E3"/>
    <w:rsid w:val="004212AB"/>
    <w:rsid w:val="0045752C"/>
    <w:rsid w:val="0049661E"/>
    <w:rsid w:val="004C29DD"/>
    <w:rsid w:val="005051CB"/>
    <w:rsid w:val="00560E22"/>
    <w:rsid w:val="00575224"/>
    <w:rsid w:val="00575CA3"/>
    <w:rsid w:val="005A2A31"/>
    <w:rsid w:val="005B314F"/>
    <w:rsid w:val="00667577"/>
    <w:rsid w:val="006A126E"/>
    <w:rsid w:val="006A4195"/>
    <w:rsid w:val="006B2E77"/>
    <w:rsid w:val="00723406"/>
    <w:rsid w:val="007354AE"/>
    <w:rsid w:val="007911D4"/>
    <w:rsid w:val="00797AFA"/>
    <w:rsid w:val="007E385A"/>
    <w:rsid w:val="007F27FF"/>
    <w:rsid w:val="00820C36"/>
    <w:rsid w:val="00822753"/>
    <w:rsid w:val="00857049"/>
    <w:rsid w:val="0088647F"/>
    <w:rsid w:val="00933861"/>
    <w:rsid w:val="0093423B"/>
    <w:rsid w:val="009C3416"/>
    <w:rsid w:val="00A024FD"/>
    <w:rsid w:val="00A34655"/>
    <w:rsid w:val="00A92F50"/>
    <w:rsid w:val="00AA65D3"/>
    <w:rsid w:val="00AC1006"/>
    <w:rsid w:val="00AC3D43"/>
    <w:rsid w:val="00AF10ED"/>
    <w:rsid w:val="00B15948"/>
    <w:rsid w:val="00B21D4C"/>
    <w:rsid w:val="00B222E2"/>
    <w:rsid w:val="00B47A5D"/>
    <w:rsid w:val="00B575EF"/>
    <w:rsid w:val="00B827EB"/>
    <w:rsid w:val="00C25DFB"/>
    <w:rsid w:val="00C3512C"/>
    <w:rsid w:val="00C47B1F"/>
    <w:rsid w:val="00C47C0B"/>
    <w:rsid w:val="00C55B3D"/>
    <w:rsid w:val="00C729DC"/>
    <w:rsid w:val="00C97B7D"/>
    <w:rsid w:val="00CD4D8B"/>
    <w:rsid w:val="00CD5F4A"/>
    <w:rsid w:val="00D90E2F"/>
    <w:rsid w:val="00DD7296"/>
    <w:rsid w:val="00DE0CD2"/>
    <w:rsid w:val="00E16C8D"/>
    <w:rsid w:val="00E677AB"/>
    <w:rsid w:val="00EC7387"/>
    <w:rsid w:val="00ED7EAE"/>
    <w:rsid w:val="00F2499B"/>
    <w:rsid w:val="00F67312"/>
    <w:rsid w:val="00F72131"/>
    <w:rsid w:val="00F914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CED41"/>
  <w15:chartTrackingRefBased/>
  <w15:docId w15:val="{04E67E37-1FD4-45B2-8807-D0642C17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4C"/>
    <w:pPr>
      <w:spacing w:after="180" w:line="249" w:lineRule="auto"/>
      <w:ind w:left="370" w:hanging="10"/>
    </w:pPr>
    <w:rPr>
      <w:rFonts w:ascii="Calibri" w:eastAsia="Calibri" w:hAnsi="Calibri" w:cs="Calibri"/>
      <w:color w:val="000000"/>
      <w:sz w:val="20"/>
      <w:lang w:eastAsia="en-GB"/>
    </w:rPr>
  </w:style>
  <w:style w:type="paragraph" w:styleId="Heading1">
    <w:name w:val="heading 1"/>
    <w:basedOn w:val="Normal"/>
    <w:next w:val="Normal"/>
    <w:link w:val="Heading1Char"/>
    <w:uiPriority w:val="9"/>
    <w:qFormat/>
    <w:rsid w:val="00B21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21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4C"/>
    <w:rPr>
      <w:rFonts w:eastAsiaTheme="majorEastAsia" w:cstheme="majorBidi"/>
      <w:color w:val="272727" w:themeColor="text1" w:themeTint="D8"/>
    </w:rPr>
  </w:style>
  <w:style w:type="paragraph" w:styleId="Title">
    <w:name w:val="Title"/>
    <w:basedOn w:val="Normal"/>
    <w:next w:val="Normal"/>
    <w:link w:val="TitleChar"/>
    <w:uiPriority w:val="10"/>
    <w:qFormat/>
    <w:rsid w:val="00B21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D4C"/>
    <w:pPr>
      <w:numPr>
        <w:ilvl w:val="1"/>
      </w:numPr>
      <w:ind w:left="37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4C"/>
    <w:pPr>
      <w:spacing w:before="160"/>
      <w:jc w:val="center"/>
    </w:pPr>
    <w:rPr>
      <w:i/>
      <w:iCs/>
      <w:color w:val="404040" w:themeColor="text1" w:themeTint="BF"/>
    </w:rPr>
  </w:style>
  <w:style w:type="character" w:customStyle="1" w:styleId="QuoteChar">
    <w:name w:val="Quote Char"/>
    <w:basedOn w:val="DefaultParagraphFont"/>
    <w:link w:val="Quote"/>
    <w:uiPriority w:val="29"/>
    <w:rsid w:val="00B21D4C"/>
    <w:rPr>
      <w:i/>
      <w:iCs/>
      <w:color w:val="404040" w:themeColor="text1" w:themeTint="BF"/>
    </w:rPr>
  </w:style>
  <w:style w:type="paragraph" w:styleId="ListParagraph">
    <w:name w:val="List Paragraph"/>
    <w:basedOn w:val="Normal"/>
    <w:uiPriority w:val="34"/>
    <w:qFormat/>
    <w:rsid w:val="00B21D4C"/>
    <w:pPr>
      <w:ind w:left="720"/>
      <w:contextualSpacing/>
    </w:pPr>
  </w:style>
  <w:style w:type="character" w:styleId="IntenseEmphasis">
    <w:name w:val="Intense Emphasis"/>
    <w:basedOn w:val="DefaultParagraphFont"/>
    <w:uiPriority w:val="21"/>
    <w:qFormat/>
    <w:rsid w:val="00B21D4C"/>
    <w:rPr>
      <w:i/>
      <w:iCs/>
      <w:color w:val="0F4761" w:themeColor="accent1" w:themeShade="BF"/>
    </w:rPr>
  </w:style>
  <w:style w:type="paragraph" w:styleId="IntenseQuote">
    <w:name w:val="Intense Quote"/>
    <w:basedOn w:val="Normal"/>
    <w:next w:val="Normal"/>
    <w:link w:val="IntenseQuoteChar"/>
    <w:uiPriority w:val="30"/>
    <w:qFormat/>
    <w:rsid w:val="00B21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D4C"/>
    <w:rPr>
      <w:i/>
      <w:iCs/>
      <w:color w:val="0F4761" w:themeColor="accent1" w:themeShade="BF"/>
    </w:rPr>
  </w:style>
  <w:style w:type="character" w:styleId="IntenseReference">
    <w:name w:val="Intense Reference"/>
    <w:basedOn w:val="DefaultParagraphFont"/>
    <w:uiPriority w:val="32"/>
    <w:qFormat/>
    <w:rsid w:val="00B21D4C"/>
    <w:rPr>
      <w:b/>
      <w:bCs/>
      <w:smallCaps/>
      <w:color w:val="0F4761" w:themeColor="accent1" w:themeShade="BF"/>
      <w:spacing w:val="5"/>
    </w:rPr>
  </w:style>
  <w:style w:type="table" w:customStyle="1" w:styleId="TableGrid">
    <w:name w:val="TableGrid"/>
    <w:rsid w:val="00B21D4C"/>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C47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0B"/>
    <w:rPr>
      <w:rFonts w:ascii="Calibri" w:eastAsia="Calibri" w:hAnsi="Calibri" w:cs="Calibri"/>
      <w:color w:val="000000"/>
      <w:sz w:val="20"/>
      <w:lang w:eastAsia="en-GB"/>
    </w:rPr>
  </w:style>
  <w:style w:type="paragraph" w:styleId="Footer">
    <w:name w:val="footer"/>
    <w:basedOn w:val="Normal"/>
    <w:link w:val="FooterChar"/>
    <w:uiPriority w:val="99"/>
    <w:unhideWhenUsed/>
    <w:rsid w:val="00C47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0B"/>
    <w:rPr>
      <w:rFonts w:ascii="Calibri" w:eastAsia="Calibri" w:hAnsi="Calibri" w:cs="Calibri"/>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3250">
      <w:bodyDiv w:val="1"/>
      <w:marLeft w:val="0"/>
      <w:marRight w:val="0"/>
      <w:marTop w:val="0"/>
      <w:marBottom w:val="0"/>
      <w:divBdr>
        <w:top w:val="none" w:sz="0" w:space="0" w:color="auto"/>
        <w:left w:val="none" w:sz="0" w:space="0" w:color="auto"/>
        <w:bottom w:val="none" w:sz="0" w:space="0" w:color="auto"/>
        <w:right w:val="none" w:sz="0" w:space="0" w:color="auto"/>
      </w:divBdr>
    </w:div>
    <w:div w:id="471288611">
      <w:bodyDiv w:val="1"/>
      <w:marLeft w:val="0"/>
      <w:marRight w:val="0"/>
      <w:marTop w:val="0"/>
      <w:marBottom w:val="0"/>
      <w:divBdr>
        <w:top w:val="none" w:sz="0" w:space="0" w:color="auto"/>
        <w:left w:val="none" w:sz="0" w:space="0" w:color="auto"/>
        <w:bottom w:val="none" w:sz="0" w:space="0" w:color="auto"/>
        <w:right w:val="none" w:sz="0" w:space="0" w:color="auto"/>
      </w:divBdr>
    </w:div>
    <w:div w:id="770704808">
      <w:bodyDiv w:val="1"/>
      <w:marLeft w:val="0"/>
      <w:marRight w:val="0"/>
      <w:marTop w:val="0"/>
      <w:marBottom w:val="0"/>
      <w:divBdr>
        <w:top w:val="none" w:sz="0" w:space="0" w:color="auto"/>
        <w:left w:val="none" w:sz="0" w:space="0" w:color="auto"/>
        <w:bottom w:val="none" w:sz="0" w:space="0" w:color="auto"/>
        <w:right w:val="none" w:sz="0" w:space="0" w:color="auto"/>
      </w:divBdr>
    </w:div>
    <w:div w:id="826022360">
      <w:bodyDiv w:val="1"/>
      <w:marLeft w:val="0"/>
      <w:marRight w:val="0"/>
      <w:marTop w:val="0"/>
      <w:marBottom w:val="0"/>
      <w:divBdr>
        <w:top w:val="none" w:sz="0" w:space="0" w:color="auto"/>
        <w:left w:val="none" w:sz="0" w:space="0" w:color="auto"/>
        <w:bottom w:val="none" w:sz="0" w:space="0" w:color="auto"/>
        <w:right w:val="none" w:sz="0" w:space="0" w:color="auto"/>
      </w:divBdr>
    </w:div>
    <w:div w:id="873425471">
      <w:bodyDiv w:val="1"/>
      <w:marLeft w:val="0"/>
      <w:marRight w:val="0"/>
      <w:marTop w:val="0"/>
      <w:marBottom w:val="0"/>
      <w:divBdr>
        <w:top w:val="none" w:sz="0" w:space="0" w:color="auto"/>
        <w:left w:val="none" w:sz="0" w:space="0" w:color="auto"/>
        <w:bottom w:val="none" w:sz="0" w:space="0" w:color="auto"/>
        <w:right w:val="none" w:sz="0" w:space="0" w:color="auto"/>
      </w:divBdr>
    </w:div>
    <w:div w:id="1150441506">
      <w:bodyDiv w:val="1"/>
      <w:marLeft w:val="0"/>
      <w:marRight w:val="0"/>
      <w:marTop w:val="0"/>
      <w:marBottom w:val="0"/>
      <w:divBdr>
        <w:top w:val="none" w:sz="0" w:space="0" w:color="auto"/>
        <w:left w:val="none" w:sz="0" w:space="0" w:color="auto"/>
        <w:bottom w:val="none" w:sz="0" w:space="0" w:color="auto"/>
        <w:right w:val="none" w:sz="0" w:space="0" w:color="auto"/>
      </w:divBdr>
    </w:div>
    <w:div w:id="175127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445</Words>
  <Characters>2424</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Emery</dc:creator>
  <cp:keywords/>
  <dc:description/>
  <cp:lastModifiedBy>Janine Bodill</cp:lastModifiedBy>
  <cp:revision>3</cp:revision>
  <cp:lastPrinted>2026-03-04T09:05:00Z</cp:lastPrinted>
  <dcterms:created xsi:type="dcterms:W3CDTF">2026-03-04T09:34:00Z</dcterms:created>
  <dcterms:modified xsi:type="dcterms:W3CDTF">2026-03-04T09:43:00Z</dcterms:modified>
</cp:coreProperties>
</file>